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c>
          <w:tcPr>
            <w:tcW w:w="509" w:type="dxa"/>
            <w:noWrap w:val="0"/>
            <w:vAlign w:val="top"/>
          </w:tcPr>
          <w:p>
            <w:pPr>
              <w:pStyle w:val="4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ICS</w:t>
            </w:r>
          </w:p>
        </w:tc>
        <w:tc>
          <w:tcPr>
            <w:tcW w:w="8855" w:type="dxa"/>
            <w:noWrap w:val="0"/>
            <w:vAlign w:val="top"/>
          </w:tcPr>
          <w:p>
            <w:pPr>
              <w:pStyle w:val="4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both"/>
              <w:rPr>
                <w:rFonts w:ascii="黑体" w:hAnsi="黑体" w:eastAsia="黑体" w:cs="黑体"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  <w:noWrap w:val="0"/>
            <w:vAlign w:val="top"/>
          </w:tcPr>
          <w:p>
            <w:pPr>
              <w:pStyle w:val="4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  <w:noWrap w:val="0"/>
            <w:vAlign w:val="top"/>
          </w:tcPr>
          <w:p>
            <w:pPr>
              <w:pStyle w:val="4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both"/>
              <w:rPr>
                <w:rFonts w:ascii="黑体" w:hAnsi="黑体" w:eastAsia="黑体" w:cs="黑体"/>
                <w:bCs/>
                <w:color w:val="000000"/>
                <w:sz w:val="21"/>
                <w:szCs w:val="21"/>
              </w:rPr>
            </w:pPr>
          </w:p>
        </w:tc>
      </w:tr>
    </w:tbl>
    <w:tbl>
      <w:tblPr>
        <w:tblStyle w:val="5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c>
          <w:tcPr>
            <w:tcW w:w="6407" w:type="dxa"/>
            <w:noWrap w:val="0"/>
            <w:vAlign w:val="top"/>
          </w:tcPr>
          <w:p>
            <w:pPr>
              <w:pStyle w:val="7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0" w:name="_Hlk26473981"/>
            <w:r>
              <w:drawing>
                <wp:inline distT="0" distB="0" distL="114300" distR="114300">
                  <wp:extent cx="796290" cy="397510"/>
                  <wp:effectExtent l="0" t="0" r="3810" b="889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t>6540</w:t>
            </w:r>
          </w:p>
        </w:tc>
      </w:tr>
      <w:bookmarkEnd w:id="0"/>
    </w:tbl>
    <w:p>
      <w:pPr>
        <w:pStyle w:val="8"/>
        <w:rPr>
          <w:lang w:val="fr-FR"/>
        </w:rPr>
      </w:pPr>
    </w:p>
    <w:p>
      <w:pPr>
        <w:pStyle w:val="8"/>
        <w:jc w:val="center"/>
        <w:rPr>
          <w:rFonts w:hint="default" w:hAnsi="黑体"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          </w:t>
      </w:r>
      <w:r>
        <w:rPr>
          <w:color w:val="000000"/>
          <w:lang w:val="fr-FR"/>
        </w:rPr>
        <w:t>DB</w:t>
      </w:r>
      <w:r>
        <w:rPr>
          <w:rFonts w:hint="eastAsia"/>
          <w:color w:val="000000"/>
          <w:lang w:val="en-US" w:eastAsia="zh-CN"/>
        </w:rPr>
        <w:t>6540/T</w:t>
      </w:r>
      <w:r>
        <w:rPr>
          <w:color w:val="000000"/>
          <w:sz w:val="15"/>
          <w:szCs w:val="15"/>
          <w:lang w:val="fr-FR"/>
        </w:rPr>
        <w:t xml:space="preserve"> </w:t>
      </w:r>
      <w:r>
        <w:rPr>
          <w:rFonts w:hint="default"/>
          <w:color w:val="000000"/>
          <w:sz w:val="15"/>
          <w:szCs w:val="15"/>
        </w:rPr>
        <w:t>XXX</w:t>
      </w:r>
      <w:r>
        <w:rPr>
          <w:color w:val="000000"/>
        </w:rPr>
        <w:t>-</w:t>
      </w:r>
      <w:r>
        <w:rPr>
          <w:rFonts w:hint="eastAsia" w:hAnsi="黑体"/>
          <w:color w:val="000000"/>
          <w:lang w:val="en-US" w:eastAsia="zh-CN"/>
        </w:rPr>
        <w:t>2023</w:t>
      </w:r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2672715</wp:posOffset>
                </wp:positionV>
                <wp:extent cx="5956935" cy="5080"/>
                <wp:effectExtent l="0" t="4445" r="12065" b="952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50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9pt;margin-top:210.45pt;height:0.4pt;width:469.05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+N7HdgAAAAMAQAADwAAAAAAAAABACAAAAAiAAAAZHJzL2Rv&#10;d25yZXYueG1sUEsBAhQAFAAAAAgAh07iQG8Tg4kBAgAA7wMAAA4AAAAAAAAAAQAgAAAAJw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0"/>
        <w:framePr w:w="9639" w:h="6976" w:hRule="exact" w:hSpace="0" w:vSpace="0" w:vAnchor="text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keepNext w:val="0"/>
        <w:keepLines w:val="0"/>
        <w:framePr w:w="9639" w:h="6606" w:hRule="exact" w:wrap="around" w:vAnchor="page" w:hAnchor="page" w:x="1321" w:y="6489" w:anchorLock="1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罗布麻种子温室穴盘育苗技术规程</w:t>
      </w:r>
    </w:p>
    <w:p>
      <w:pPr>
        <w:framePr w:w="9639" w:h="6606" w:hRule="exact" w:wrap="around" w:vAnchor="page" w:hAnchor="page" w:x="1321" w:y="6489" w:anchorLock="1"/>
        <w:jc w:val="center"/>
        <w:rPr>
          <w:rFonts w:hint="eastAsia"/>
        </w:rPr>
      </w:pPr>
    </w:p>
    <w:p>
      <w:pPr>
        <w:framePr w:w="9639" w:h="6606" w:hRule="exact" w:wrap="around" w:vAnchor="page" w:hAnchor="page" w:x="1321" w:y="6489" w:anchorLock="1"/>
        <w:tabs>
          <w:tab w:val="left" w:pos="5287"/>
        </w:tabs>
        <w:spacing w:line="760" w:lineRule="exact"/>
        <w:ind w:left="-1418"/>
        <w:jc w:val="both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rPr>
          <w:rFonts w:hint="eastAsia"/>
          <w:sz w:val="36"/>
          <w:szCs w:val="44"/>
          <w:lang w:eastAsia="zh-CN"/>
        </w:rPr>
        <w:t>（征求意见稿）</w:t>
      </w:r>
    </w:p>
    <w:p>
      <w:pPr>
        <w:pStyle w:val="12"/>
        <w:framePr w:w="9639" w:h="6606" w:hRule="exact" w:wrap="around" w:vAnchor="page" w:hAnchor="page" w:x="1321" w:y="6489" w:anchorLock="1"/>
        <w:textAlignment w:val="bottom"/>
        <w:rPr>
          <w:rFonts w:eastAsia="黑体"/>
          <w:szCs w:val="28"/>
        </w:rPr>
      </w:pPr>
    </w:p>
    <w:p>
      <w:pPr>
        <w:pStyle w:val="12"/>
        <w:framePr w:w="9639" w:h="6606" w:hRule="exact" w:wrap="around" w:vAnchor="page" w:hAnchor="page" w:x="1321" w:y="6489" w:anchorLock="1"/>
        <w:spacing w:before="180" w:line="240" w:lineRule="atLeast"/>
        <w:textAlignment w:val="bottom"/>
        <w:rPr>
          <w:sz w:val="21"/>
          <w:szCs w:val="28"/>
        </w:rPr>
      </w:pPr>
    </w:p>
    <w:p>
      <w:pPr>
        <w:pStyle w:val="12"/>
        <w:framePr w:w="9639" w:h="6606" w:hRule="exact" w:wrap="around" w:vAnchor="page" w:hAnchor="page" w:x="1321" w:y="6489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</w:p>
    <w:p>
      <w:pPr>
        <w:pStyle w:val="13"/>
        <w:framePr w:y="14176"/>
        <w:rPr>
          <w:color w:val="00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发布</w:t>
      </w:r>
    </w:p>
    <w:p>
      <w:pPr>
        <w:pStyle w:val="15"/>
        <w:framePr w:y="14176"/>
        <w:rPr>
          <w:color w:val="FF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实施</w:t>
      </w:r>
    </w:p>
    <w:p>
      <w:pPr>
        <w:pStyle w:val="17"/>
        <w:framePr w:w="8070" w:h="405" w:hRule="exact" w:vAnchor="page" w:hAnchor="page" w:x="2115" w:y="14964"/>
        <w:tabs>
          <w:tab w:val="left" w:pos="6582"/>
        </w:tabs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pict>
          <v:shape id="_x0000_s2051" o:spid="_x0000_s2051" o:spt="136" type="#_x0000_t136" style="position:absolute;left:0pt;margin-left:10.35pt;margin-top:-0.05pt;height:18.05pt;width:308.2pt;z-index:251662336;mso-width-relative:page;mso-height-relative:page;" fillcolor="#000000" filled="t" stroked="t" coordsize="21600,21600" adj="10800">
            <v:path/>
            <v:fill on="t" color2="#FFFFFF" focussize="0,0"/>
            <v:stroke weight="0.25pt"/>
            <v:imagedata o:title=""/>
            <o:lock v:ext="edit" aspectratio="f"/>
            <v:textpath on="t" fitshape="t" fitpath="t" trim="t" xscale="f" string="伊犁哈萨克自治州市场监督管理局 " style="font-family:宋体;font-size:36pt;v-text-align:center;"/>
            <v:shadow on="t" obscured="f" color="#B2B2B2" opacity="52428f" offset="0.000236220472440945pt,0pt" offset2="-2pt,-2pt"/>
          </v:shape>
        </w:pict>
      </w:r>
      <w:r>
        <w:rPr>
          <w:rFonts w:hint="eastAsia"/>
          <w:sz w:val="28"/>
          <w:szCs w:val="28"/>
          <w:u w:val="none"/>
          <w:lang w:eastAsia="zh-CN"/>
        </w:rPr>
        <w:tab/>
      </w:r>
      <w:r>
        <w:rPr>
          <w:rFonts w:hint="eastAsia"/>
          <w:sz w:val="28"/>
          <w:szCs w:val="28"/>
          <w:u w:val="none"/>
          <w:lang w:val="en-US" w:eastAsia="zh-CN"/>
        </w:rPr>
        <w:t>发布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-338" w:right="1134" w:bottom="1021" w:left="1134" w:header="0" w:footer="0" w:gutter="284"/>
          <w:pgNumType w:fmt="upperRoman" w:start="1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pict>
          <v:shape id="_x0000_s2052" o:spid="_x0000_s2052" o:spt="136" type="#_x0000_t136" style="position:absolute;left:0pt;margin-left:-8pt;margin-top:34.2pt;height:20.05pt;width:480.2pt;mso-wrap-distance-bottom:0pt;mso-wrap-distance-left:9pt;mso-wrap-distance-right:9pt;mso-wrap-distance-top:0pt;z-index:251661312;mso-width-relative:page;mso-height-relative:page;" fillcolor="#000000" filled="t" stroked="t" coordsize="21600,21600" adj="10800">
            <v:path/>
            <v:fill on="t" color2="#FFFFFF" focussize="0,0"/>
            <v:stroke weight="0.25pt"/>
            <v:imagedata o:title=""/>
            <o:lock v:ext="edit" aspectratio="f"/>
            <v:textpath on="t" fitshape="t" fitpath="t" trim="t" xscale="f" string="伊犁哈萨克自治州地方标准" style="font-family:宋体;font-size:36pt;v-text-align:center;"/>
            <v:shadow on="t" obscured="f" color="#9999FF" offset="0.000236220472440945pt,0pt" offset2="-2pt,-2pt"/>
            <w10:wrap type="square"/>
          </v:shape>
        </w:pic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szHPvXAAAADgEAAA8AAAAAAAAAAQAgAAAAIgAAAGRycy9kb3ducmV2LnhtbFBLAQIU&#10;ABQAAAAIAIdO4kCsoq2b9AEAAOQ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9"/>
        <w:widowControl w:val="0"/>
        <w:ind w:firstLine="0" w:firstLineChars="0"/>
        <w:rPr>
          <w:rFonts w:hint="eastAsia" w:hAnsi="宋体" w:cs="宋体"/>
          <w:color w:val="000000"/>
          <w:szCs w:val="21"/>
        </w:rPr>
      </w:pPr>
      <w:bookmarkStart w:id="1" w:name="muci"/>
      <w:bookmarkEnd w:id="1"/>
    </w:p>
    <w:p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前 言</w:t>
      </w:r>
    </w:p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hAnsi="Calibri"/>
          <w:color w:val="000000"/>
          <w:szCs w:val="22"/>
          <w:lang w:val="en-US" w:eastAsia="zh-CN"/>
        </w:rPr>
      </w:pPr>
      <w:r>
        <w:rPr>
          <w:rFonts w:hint="eastAsia" w:hAnsi="Calibri"/>
          <w:color w:val="000000"/>
          <w:szCs w:val="22"/>
          <w:lang w:val="en-US" w:eastAsia="zh-CN"/>
        </w:rPr>
        <w:t>本规程按照GB/T1.1-2020给出的规则起草。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hAnsi="Calibri"/>
          <w:color w:val="000000"/>
          <w:szCs w:val="22"/>
          <w:lang w:val="en-US" w:eastAsia="zh-CN"/>
        </w:rPr>
      </w:pPr>
      <w:r>
        <w:rPr>
          <w:rFonts w:hint="default" w:hAnsi="Calibri"/>
          <w:color w:val="000000"/>
          <w:szCs w:val="22"/>
          <w:lang w:val="en-US" w:eastAsia="zh-CN"/>
        </w:rPr>
        <w:t>本文件的某些内容可能涉及专利，本文件的发布机构不承担识别专利的责任。</w:t>
      </w:r>
      <w:r>
        <w:rPr>
          <w:rFonts w:hint="eastAsia" w:hAnsi="Calibri"/>
          <w:color w:val="000000"/>
          <w:szCs w:val="22"/>
          <w:lang w:val="en-US" w:eastAsia="zh-CN"/>
        </w:rPr>
        <w:t xml:space="preserve">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default" w:hAnsi="Calibri"/>
          <w:color w:val="000000"/>
          <w:szCs w:val="22"/>
          <w:lang w:val="en-US"/>
        </w:rPr>
      </w:pPr>
      <w:r>
        <w:rPr>
          <w:rFonts w:hint="eastAsia" w:hAnsi="Calibri"/>
          <w:color w:val="000000"/>
          <w:szCs w:val="22"/>
          <w:lang w:val="en-US" w:eastAsia="zh-CN"/>
        </w:rPr>
        <w:t>本规程由伊犁州农业科学研究所提出。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  <w:lang w:val="en-US" w:eastAsia="zh-CN"/>
        </w:rPr>
        <w:t xml:space="preserve">本规程由伊犁州农业标准化技术委员会归口。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  <w:lang w:val="en-US" w:eastAsia="zh-CN"/>
        </w:rPr>
        <w:t xml:space="preserve">本规程起草单位：伊犁州农业科学研究所、中国农业科学院麻类研究所。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default" w:hAnsi="Calibri"/>
          <w:color w:val="000000"/>
          <w:szCs w:val="22"/>
          <w:lang w:val="en-US" w:eastAsia="zh-CN"/>
        </w:rPr>
      </w:pPr>
      <w:r>
        <w:rPr>
          <w:rFonts w:hint="eastAsia" w:hAnsi="Calibri"/>
          <w:color w:val="000000"/>
          <w:szCs w:val="22"/>
          <w:lang w:val="en-US" w:eastAsia="zh-CN"/>
        </w:rPr>
        <w:t>本规程主要起草人：哈尼帕·哈再斯，高钢，张正，陈继康，阿里别里根·哈孜太，守合热提·牙地卡尔，祖勒胡玛尔·乌斯满江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罗布麻种子温室穴盘育苗技术规程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  <w:lang w:val="en-US" w:eastAsia="zh-CN"/>
        </w:rPr>
        <w:t xml:space="preserve">1 范围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本规程规定了罗布麻（Apocynum）播种育苗中种子的选择、育苗温室的准备、穴盘准备、基质的配置、装盘和压盘、播种催芽、苗期管理（温度、湿度、光照）、病虫害防治、壮苗指标等技术。</w:t>
      </w:r>
    </w:p>
    <w:p>
      <w:pPr>
        <w:adjustRightInd w:val="0"/>
        <w:spacing w:line="240" w:lineRule="auto"/>
        <w:ind w:firstLine="420" w:firstLineChars="200"/>
        <w:rPr>
          <w:rFonts w:hint="eastAsia" w:hAnsi="黑体" w:cs="黑体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本规程适用于伊犁州地区各育苗场的播种育苗及栽培。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2 规范性应用文件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NY/T 2118   蔬菜育苗基质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NY/T 496    肥料合理使用准则  通则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NY/T 1267   农药安全使用规范总则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GB/T 8321   农药合理使用准则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3</w:t>
      </w:r>
      <w:r>
        <w:rPr>
          <w:rFonts w:hint="default" w:hAnsi="黑体" w:cs="黑体"/>
          <w:szCs w:val="21"/>
          <w:lang w:val="en-US" w:eastAsia="zh-CN"/>
        </w:rPr>
        <w:t>术语与定义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3.1</w:t>
      </w:r>
      <w:r>
        <w:rPr>
          <w:rFonts w:hint="default" w:hAnsi="黑体" w:cs="黑体"/>
          <w:szCs w:val="21"/>
          <w:lang w:val="en-US" w:eastAsia="zh-CN"/>
        </w:rPr>
        <w:t>罗布麻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ind w:firstLine="400" w:firstLineChars="200"/>
        <w:outlineLvl w:val="0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罗布麻（Apocynum）是夹竹桃科罗布麻属的一类半灌木状多年生草本宿根植物，主要通过种子和根孽繁殖，能够在盐碱、干旱、沙荒等恶劣的自然环境下生长。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3.2</w:t>
      </w:r>
      <w:r>
        <w:rPr>
          <w:rFonts w:hint="default" w:hAnsi="黑体" w:cs="黑体"/>
          <w:szCs w:val="21"/>
          <w:lang w:val="en-US" w:eastAsia="zh-CN"/>
        </w:rPr>
        <w:t>穴盘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采用塑料等材质吸塑制作而成，孔穴为四棱锥形或圆锥形，多个育苗孔整齐排列，底部有排水孔的专用育苗容器，外形尺寸 25cm×48cm。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3.3</w:t>
      </w:r>
      <w:r>
        <w:rPr>
          <w:rFonts w:hint="default" w:hAnsi="黑体" w:cs="黑体"/>
          <w:szCs w:val="21"/>
          <w:lang w:val="en-US" w:eastAsia="zh-CN"/>
        </w:rPr>
        <w:t>穴盘育苗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将种子直接播种于统一规格、装有育苗基质的塑料等材质穴盘中，每穴播种 1 粒～2 粒种子，直接 培育成苗的一种育苗方式。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4 罗布麻种子的准备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4.1种子采收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ascii="Times New Roman" w:hAnsi="Times New Roman" w:eastAsia="宋体" w:cs="宋体"/>
          <w:color w:val="000000"/>
          <w:kern w:val="2"/>
          <w:sz w:val="21"/>
          <w:szCs w:val="21"/>
          <w:lang w:val="en-US" w:eastAsia="zh-CN" w:bidi="ar"/>
        </w:rPr>
      </w:pPr>
      <w:r>
        <w:rPr>
          <w:rFonts w:hint="eastAsia" w:hAnsi="黑体" w:cs="黑体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color w:val="000000"/>
          <w:kern w:val="2"/>
          <w:sz w:val="21"/>
          <w:szCs w:val="21"/>
          <w:lang w:val="en-US" w:eastAsia="zh-CN" w:bidi="ar"/>
        </w:rPr>
        <w:t xml:space="preserve">于9月底～10月初蓇葖果由黄绿色变为黄褐色，在人工种植或天然分布的健壮无病害结果植株上进行采收，采后晾干。 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  <w:lang w:val="en-US" w:eastAsia="zh-CN"/>
        </w:rPr>
        <w:t xml:space="preserve">4.2 种子调制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待蓇葖果开裂后去除果皮及种毛、杂质，精选后将种子晾干，放置在通风干燥处保藏。保存期间注意防潮、防虫。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5 育苗温室的准备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冬春季节宜选用日光温室，温室内需要配置温度调节设备，喷水系统，棚膜，苗床等齐全的基本设施，以保证充足阳光</w:t>
      </w:r>
      <w:bookmarkStart w:id="2" w:name="_GoBack"/>
      <w:bookmarkEnd w:id="2"/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以及苗株生长的保温性和透光性等需求，。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 穴盘准备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本规程采用6*12=72孔规格的商业化塑料苗盘，长48厘米，宽25厘米，空穴内长3.8厘米，深5.5厘米，滴漏洞直径1厘米。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 xml:space="preserve">7 基质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基质选用80%育苗专用泥炭（粒径0-10毫米）和20%园艺珍珠岩（粒径0.3-0.5毫米），或选用蔬菜育苗专用商品基质，基质质量符合NY/T 2118（蔬菜育苗基质）的规定。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8 温室育苗技术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  <w:lang w:val="en-US" w:eastAsia="zh-CN"/>
        </w:rPr>
        <w:t xml:space="preserve">8.1 育苗时间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 xml:space="preserve">3月中下旬。 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8.2基质装盘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8.2.1基质预湿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装盘前先将基质用水搅拌潮湿，混合均匀，含水量控制在30%-40%，用手紧握能感到潮湿但不成团为宜。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8.2.2基质装盘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将预湿好的基质装入盘中稍加镇压，刮平。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/>
        </w:rPr>
      </w:pPr>
      <w:r>
        <w:rPr>
          <w:rFonts w:hint="eastAsia" w:hAnsi="黑体" w:cs="黑体"/>
          <w:szCs w:val="21"/>
          <w:lang w:val="en-US" w:eastAsia="zh-CN"/>
        </w:rPr>
        <w:t>8.3 播种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穴盘中央打孔，每孔播种2-3粒，播深2-3厘米。播种后覆盖蛭石或基质并抹平，将穴盘放置育苗床架上或与土壤隔离的地面上，喷透水。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  <w:lang w:val="en-US" w:eastAsia="zh-CN"/>
        </w:rPr>
        <w:t>9育苗管理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 xml:space="preserve">9.1 出苗前管理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白天温度控制在15-25℃，夜间温度不低于10-15℃。基质含水量达到90%以上。拉盖遮阳网遮阴防止阳光直射。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 xml:space="preserve">9.2出苗后管理 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9.2.1温度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白天温度控制在18-25℃，夜间温度不低于10-12℃。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9.2.2 湿度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育苗温室空气相对湿度保持在60%-70%，上午、下午各浇水1次。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  <w:lang w:val="en-US" w:eastAsia="zh-CN"/>
        </w:rPr>
        <w:t xml:space="preserve">9.2.3 施肥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3叶1心后开始施肥，随水喷施尿素2.5-3公斤/ 667㎡。肥料的使用应符合NY/T 496的规定。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9.3  炼苗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定植前7天-10天开始炼苗，减少浇水次数，加大防风量，降低温度，接近定植地的环境条件。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10  病虫害防治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选用高效低毒低残留化学农药进行罗布麻苗期病虫害化学防治，苗期病害主要为立枯病；虫害主要为蚜虫和红蜘蛛。出苗后一个月内每周交替喷洒一次杀菌剂。发生蚜虫、红蜘蛛危害可喷施杀虫剂进行防治。根据苗期病虫害发生情况选择对口农药，施药次数，用量和安全间隔期等应符合NY/T 1267和GB/T8321的规定。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11 壮苗标准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罗布麻苗长至5-6叶1心，株高8-10厘米，生长期50-60天，根径大于0.4厘米，无病虫。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12 定植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ind w:firstLine="420" w:firstLineChars="2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2"/>
          <w:sz w:val="21"/>
          <w:szCs w:val="21"/>
          <w:lang w:val="en-US" w:eastAsia="zh-CN" w:bidi="ar"/>
        </w:rPr>
        <w:t>罗布麻苗长至5-6叶1心时进行移栽定植。</w:t>
      </w:r>
    </w:p>
    <w:p>
      <w:pPr>
        <w:pStyle w:val="23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720"/>
      <w:jc w:val="both"/>
      <w:rPr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1fWDns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spacing w:after="360" w:line="240" w:lineRule="auto"/>
      <w:jc w:val="right"/>
      <w:rPr>
        <w:rFonts w:hint="eastAsia" w:ascii="黑体" w:hAnsi="黑体" w:eastAsia="黑体" w:cs="黑体"/>
        <w:bCs/>
        <w:sz w:val="21"/>
        <w:szCs w:val="21"/>
      </w:rPr>
    </w:pPr>
    <w:r>
      <w:rPr>
        <w:rFonts w:hint="eastAsia" w:ascii="黑体" w:hAnsi="黑体" w:eastAsia="黑体" w:cs="黑体"/>
        <w:bCs/>
        <w:sz w:val="21"/>
        <w:szCs w:val="21"/>
      </w:rPr>
      <w:t>DB6540/T 004—2022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pStyle w:val="23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DVlYzJmOWRmYTI1MmY4MGNjYWU0MDdiZTRkOTkifQ=="/>
  </w:docVars>
  <w:rsids>
    <w:rsidRoot w:val="21301A80"/>
    <w:rsid w:val="03023CD1"/>
    <w:rsid w:val="1AF93F7B"/>
    <w:rsid w:val="1CAE092A"/>
    <w:rsid w:val="21301A80"/>
    <w:rsid w:val="279E60CE"/>
    <w:rsid w:val="2B514BE0"/>
    <w:rsid w:val="38611904"/>
    <w:rsid w:val="3F652CEC"/>
    <w:rsid w:val="44E346A3"/>
    <w:rsid w:val="45753E5F"/>
    <w:rsid w:val="48F14EB5"/>
    <w:rsid w:val="55E745F2"/>
    <w:rsid w:val="5FF037E1"/>
    <w:rsid w:val="60A32DAF"/>
    <w:rsid w:val="6874548F"/>
    <w:rsid w:val="73697BBA"/>
    <w:rsid w:val="7BED211A"/>
    <w:rsid w:val="7F28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 w:hAnsi="Times New Roman"/>
      <w:kern w:val="0"/>
      <w:sz w:val="18"/>
      <w:szCs w:val="18"/>
    </w:rPr>
  </w:style>
  <w:style w:type="paragraph" w:styleId="4">
    <w:name w:val="head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7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">
    <w:name w:val="标准文件_文件编号"/>
    <w:basedOn w:val="9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bidi="ar-SA"/>
    </w:rPr>
  </w:style>
  <w:style w:type="paragraph" w:customStyle="1" w:styleId="10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11">
    <w:name w:val="标准文件_文件名称"/>
    <w:basedOn w:val="9"/>
    <w:next w:val="9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">
    <w:name w:val="其他发布日期"/>
    <w:basedOn w:val="14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4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5">
    <w:name w:val="其他实施日期"/>
    <w:basedOn w:val="16"/>
    <w:qFormat/>
    <w:uiPriority w:val="0"/>
    <w:pPr>
      <w:framePr w:w="3997" w:h="471" w:hRule="exact" w:vSpace="181" w:vAnchor="page" w:hAnchor="page" w:x="7089" w:y="14097"/>
    </w:pPr>
  </w:style>
  <w:style w:type="paragraph" w:customStyle="1" w:styleId="16">
    <w:name w:val="实施日期"/>
    <w:basedOn w:val="14"/>
    <w:qFormat/>
    <w:uiPriority w:val="0"/>
    <w:pPr>
      <w:framePr w:hSpace="0" w:xAlign="right"/>
      <w:jc w:val="right"/>
    </w:pPr>
  </w:style>
  <w:style w:type="paragraph" w:customStyle="1" w:styleId="17">
    <w:name w:val="其他发布部门"/>
    <w:basedOn w:val="18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8">
    <w:name w:val="发布部门"/>
    <w:next w:val="19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1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2">
    <w:name w:val="目次、标准名称标题"/>
    <w:basedOn w:val="1"/>
    <w:next w:val="19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3">
    <w:name w:val="章标题"/>
    <w:next w:val="19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1226</Words>
  <Characters>1450</Characters>
  <Lines>0</Lines>
  <Paragraphs>0</Paragraphs>
  <TotalTime>9</TotalTime>
  <ScaleCrop>false</ScaleCrop>
  <LinksUpToDate>false</LinksUpToDate>
  <CharactersWithSpaces>1557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2023-01-11T01:20:00Z</dcterms:created>
  <dc:creator>哈尼帕</dc:creator>
  <cp:lastModifiedBy>tt</cp:lastModifiedBy>
  <dcterms:modified xsi:type="dcterms:W3CDTF">2025-02-19T08:21:05Z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0FA51F09621B4A2B933D87DEE10276AF</vt:lpwstr>
  </property>
</Properties>
</file>